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D63D" w14:textId="26880C47" w:rsidR="001C39BB" w:rsidRPr="00030DBC" w:rsidRDefault="002769C2" w:rsidP="002769C2">
      <w:pPr>
        <w:pStyle w:val="Addressee"/>
        <w:tabs>
          <w:tab w:val="left" w:pos="709"/>
          <w:tab w:val="left" w:pos="851"/>
        </w:tabs>
        <w:ind w:firstLine="0"/>
        <w:jc w:val="both"/>
        <w:rPr>
          <w:rFonts w:ascii="IBM Plex Sans" w:hAnsi="IBM Plex Sans"/>
          <w:color w:val="262626" w:themeColor="text1" w:themeTint="D9"/>
          <w:sz w:val="40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49172484"/>
      <w:r w:rsidRPr="00030DBC">
        <w:rPr>
          <w:rFonts w:ascii="IBM Plex Sans" w:hAnsi="IBM Plex Sans"/>
          <w:color w:val="262626" w:themeColor="text1" w:themeTint="D9"/>
          <w:sz w:val="40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EDGE-TC2 </w:t>
      </w:r>
      <w:r w:rsidR="001B2CD1" w:rsidRPr="00030DBC">
        <w:rPr>
          <w:rFonts w:ascii="IBM Plex Sans" w:hAnsi="IBM Plex Sans"/>
          <w:color w:val="262626" w:themeColor="text1" w:themeTint="D9"/>
          <w:sz w:val="40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Heat Interface Unit</w:t>
      </w:r>
      <w:r w:rsidRPr="00030DBC">
        <w:rPr>
          <w:rFonts w:ascii="IBM Plex Sans" w:hAnsi="IBM Plex Sans"/>
          <w:color w:val="262626" w:themeColor="text1" w:themeTint="D9"/>
          <w:sz w:val="40"/>
          <w:szCs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Specification Text</w:t>
      </w:r>
    </w:p>
    <w:p w14:paraId="0CB17F73" w14:textId="77777777" w:rsidR="002769C2" w:rsidRPr="004530E6" w:rsidRDefault="002769C2" w:rsidP="002769C2">
      <w:pPr>
        <w:pStyle w:val="Addressee"/>
        <w:tabs>
          <w:tab w:val="left" w:pos="709"/>
          <w:tab w:val="left" w:pos="851"/>
        </w:tabs>
        <w:ind w:firstLine="0"/>
        <w:jc w:val="both"/>
        <w:rPr>
          <w:color w:val="auto"/>
        </w:rPr>
      </w:pPr>
    </w:p>
    <w:bookmarkEnd w:id="0"/>
    <w:p w14:paraId="5127B85D" w14:textId="6120E479" w:rsidR="00D056D6" w:rsidRPr="007959E2" w:rsidRDefault="00983404" w:rsidP="004F559B">
      <w:pPr>
        <w:spacing w:after="160" w:line="276" w:lineRule="auto"/>
        <w:rPr>
          <w:color w:val="408B80"/>
        </w:rPr>
      </w:pPr>
      <w:r w:rsidRPr="007959E2">
        <w:rPr>
          <w:rFonts w:ascii="IBM Plex Sans" w:eastAsiaTheme="majorEastAsia" w:hAnsi="IBM Plex Sans" w:cstheme="majorBidi"/>
          <w:b/>
          <w:color w:val="408B80"/>
          <w:sz w:val="28"/>
          <w:szCs w:val="26"/>
        </w:rPr>
        <w:t>Heat Interface Unit</w:t>
      </w:r>
    </w:p>
    <w:p w14:paraId="5C2BED37" w14:textId="0F07F2EE" w:rsidR="00983404" w:rsidRPr="00030DBC" w:rsidRDefault="00983404" w:rsidP="004F559B">
      <w:pPr>
        <w:pStyle w:val="ListParagraph"/>
        <w:numPr>
          <w:ilvl w:val="0"/>
          <w:numId w:val="2"/>
        </w:numPr>
        <w:spacing w:after="160" w:line="276" w:lineRule="auto"/>
        <w:ind w:left="284" w:hanging="284"/>
        <w:rPr>
          <w:color w:val="262626" w:themeColor="text1" w:themeTint="D9"/>
        </w:rPr>
      </w:pPr>
      <w:r w:rsidRPr="00030DBC">
        <w:rPr>
          <w:color w:val="262626" w:themeColor="text1" w:themeTint="D9"/>
        </w:rPr>
        <w:t>Twin plate heat exchangers for instantaneous domestic hot water, and secondary space heating</w:t>
      </w:r>
      <w:r w:rsidR="004F559B" w:rsidRPr="00030DBC">
        <w:rPr>
          <w:color w:val="262626" w:themeColor="text1" w:themeTint="D9"/>
        </w:rPr>
        <w:t>:</w:t>
      </w:r>
    </w:p>
    <w:p w14:paraId="1C384EB8" w14:textId="59B06409" w:rsidR="00983404" w:rsidRPr="00030DBC" w:rsidRDefault="00983404" w:rsidP="004F559B">
      <w:pPr>
        <w:pStyle w:val="ListParagraph"/>
        <w:numPr>
          <w:ilvl w:val="0"/>
          <w:numId w:val="3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 xml:space="preserve">Primary circuit: 16 bar maximum working pressure, 4 bar maximum differential pressure </w:t>
      </w:r>
      <w:r w:rsidR="00870DFF">
        <w:rPr>
          <w:color w:val="262626" w:themeColor="text1" w:themeTint="D9"/>
        </w:rPr>
        <w:t>and</w:t>
      </w:r>
      <w:r w:rsidRPr="00030DBC">
        <w:rPr>
          <w:color w:val="262626" w:themeColor="text1" w:themeTint="D9"/>
        </w:rPr>
        <w:t xml:space="preserve"> 90</w:t>
      </w:r>
      <w:r w:rsidRPr="00870DFF">
        <w:rPr>
          <w:color w:val="262626" w:themeColor="text1" w:themeTint="D9"/>
          <w:vertAlign w:val="superscript"/>
        </w:rPr>
        <w:t>o</w:t>
      </w:r>
      <w:r w:rsidRPr="00030DBC">
        <w:rPr>
          <w:color w:val="262626" w:themeColor="text1" w:themeTint="D9"/>
        </w:rPr>
        <w:t>C maximum flow temperature</w:t>
      </w:r>
    </w:p>
    <w:p w14:paraId="3730A65C" w14:textId="4DE8AEE7" w:rsidR="00983404" w:rsidRPr="00030DBC" w:rsidRDefault="00983404" w:rsidP="004F559B">
      <w:pPr>
        <w:pStyle w:val="ListParagraph"/>
        <w:numPr>
          <w:ilvl w:val="0"/>
          <w:numId w:val="3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DHW circuit: 16 bar maximum working pressure</w:t>
      </w:r>
    </w:p>
    <w:p w14:paraId="43D8C1F9" w14:textId="29383C8F" w:rsidR="00983404" w:rsidRPr="00030DBC" w:rsidRDefault="00983404" w:rsidP="004F559B">
      <w:pPr>
        <w:pStyle w:val="ListParagraph"/>
        <w:numPr>
          <w:ilvl w:val="0"/>
          <w:numId w:val="3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Secondary space heating circuit: 3 bar maximum operating pressure</w:t>
      </w:r>
    </w:p>
    <w:p w14:paraId="503AD228" w14:textId="77777777" w:rsidR="00E05125" w:rsidRPr="00030DBC" w:rsidRDefault="00E05125" w:rsidP="004F559B">
      <w:pPr>
        <w:pStyle w:val="ListParagraph"/>
        <w:numPr>
          <w:ilvl w:val="0"/>
          <w:numId w:val="5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2-Port proportional electronic control valves for independent temperature control of hot water and heating circuits:</w:t>
      </w:r>
    </w:p>
    <w:p w14:paraId="7B9D18A0" w14:textId="6D77F943" w:rsidR="00E05125" w:rsidRPr="00030DBC" w:rsidRDefault="00E05125" w:rsidP="004F559B">
      <w:pPr>
        <w:pStyle w:val="ListParagraph"/>
        <w:numPr>
          <w:ilvl w:val="0"/>
          <w:numId w:val="6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Control valves must be tamperproof and leak tight</w:t>
      </w:r>
    </w:p>
    <w:p w14:paraId="325DE2F3" w14:textId="2EA26BD6" w:rsidR="001721B0" w:rsidRPr="00030DBC" w:rsidRDefault="00E05125" w:rsidP="004F559B">
      <w:pPr>
        <w:pStyle w:val="ListParagraph"/>
        <w:numPr>
          <w:ilvl w:val="0"/>
          <w:numId w:val="6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Control valves must feature a visual indicator of ‘actual’ valve position, without needing to connect to the controller on-site or remotely</w:t>
      </w:r>
    </w:p>
    <w:p w14:paraId="176B4760" w14:textId="280FCB2F" w:rsidR="00FB5F6B" w:rsidRPr="00030DBC" w:rsidRDefault="00FB5F6B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DPCV fitted within HIU primary return for 4 bar dP protection of HIU, and balance of index circuits</w:t>
      </w:r>
    </w:p>
    <w:p w14:paraId="0811D46C" w14:textId="00F286C5" w:rsidR="00FB5F6B" w:rsidRPr="00030DBC" w:rsidRDefault="00FB5F6B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Strainers on all inlets, air vents at highest points, and drain cocks at lowest points as standard</w:t>
      </w:r>
    </w:p>
    <w:p w14:paraId="6CA10429" w14:textId="7328EBFC" w:rsidR="00FB5F6B" w:rsidRPr="00030DBC" w:rsidRDefault="00FB5F6B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Fully insulated using insulation shells and Armaflex pipe insulation where necessary to limit heat loss</w:t>
      </w:r>
    </w:p>
    <w:p w14:paraId="78299B57" w14:textId="77777777" w:rsidR="00FB5F6B" w:rsidRPr="00030DBC" w:rsidRDefault="00FB5F6B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On-board sensors for on-site visibility of the following:</w:t>
      </w:r>
    </w:p>
    <w:p w14:paraId="2BBE999A" w14:textId="3141FF19" w:rsidR="003C6507" w:rsidRPr="00030DBC" w:rsidRDefault="003C6507" w:rsidP="004F559B">
      <w:pPr>
        <w:pStyle w:val="ListParagraph"/>
        <w:tabs>
          <w:tab w:val="left" w:pos="1134"/>
        </w:tabs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o</w:t>
      </w:r>
      <w:r w:rsidRPr="00030DBC">
        <w:rPr>
          <w:color w:val="262626" w:themeColor="text1" w:themeTint="D9"/>
        </w:rPr>
        <w:tab/>
        <w:t>Primary flow &amp; return temperature</w:t>
      </w:r>
    </w:p>
    <w:p w14:paraId="4A177572" w14:textId="4BE43541" w:rsidR="003C6507" w:rsidRPr="00030DBC" w:rsidRDefault="003C6507" w:rsidP="004F559B">
      <w:pPr>
        <w:pStyle w:val="ListParagraph"/>
        <w:tabs>
          <w:tab w:val="left" w:pos="1134"/>
        </w:tabs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o</w:t>
      </w:r>
      <w:r w:rsidRPr="00030DBC">
        <w:rPr>
          <w:color w:val="262626" w:themeColor="text1" w:themeTint="D9"/>
        </w:rPr>
        <w:tab/>
        <w:t>Mains cold water inlet temperature</w:t>
      </w:r>
    </w:p>
    <w:p w14:paraId="010181B7" w14:textId="0CDBC9EB" w:rsidR="003C6507" w:rsidRPr="00030DBC" w:rsidRDefault="003C6507" w:rsidP="004F559B">
      <w:pPr>
        <w:pStyle w:val="ListParagraph"/>
        <w:tabs>
          <w:tab w:val="left" w:pos="1134"/>
        </w:tabs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o</w:t>
      </w:r>
      <w:r w:rsidRPr="00030DBC">
        <w:rPr>
          <w:color w:val="262626" w:themeColor="text1" w:themeTint="D9"/>
        </w:rPr>
        <w:tab/>
        <w:t>Domestic hot water delivery temperature, and flow rate</w:t>
      </w:r>
    </w:p>
    <w:p w14:paraId="0CEF3F9F" w14:textId="66DE04E6" w:rsidR="003C6507" w:rsidRPr="00030DBC" w:rsidRDefault="003C6507" w:rsidP="004F559B">
      <w:pPr>
        <w:pStyle w:val="ListParagraph"/>
        <w:tabs>
          <w:tab w:val="left" w:pos="1134"/>
        </w:tabs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o</w:t>
      </w:r>
      <w:r w:rsidRPr="00030DBC">
        <w:rPr>
          <w:color w:val="262626" w:themeColor="text1" w:themeTint="D9"/>
        </w:rPr>
        <w:tab/>
        <w:t>Secondary space heating flow &amp; return temperatures, pressure, and flow rate</w:t>
      </w:r>
    </w:p>
    <w:p w14:paraId="5FBD36F7" w14:textId="6E6EE529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Modulating ‘A’-rated pump for efficient variable flow of secondary space heating circuits</w:t>
      </w:r>
    </w:p>
    <w:p w14:paraId="091C85FB" w14:textId="2F5A4E88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Secondary space heating pressure gauge which can be read without taking the case off</w:t>
      </w:r>
    </w:p>
    <w:p w14:paraId="67F63EA1" w14:textId="36837BF7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Secondary space heating pressure sensor to prevent pump running dry when circuit pressure is less than 0.5 bar (configurable pre-set)</w:t>
      </w:r>
    </w:p>
    <w:p w14:paraId="25F14376" w14:textId="6D379449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8 litre expansion vessel for secondary space heating, with safety pressure relief valve set at 3 bar</w:t>
      </w:r>
    </w:p>
    <w:p w14:paraId="605D1691" w14:textId="0840A165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Class II MID approved energy meter with MBUS output and detachable screen for remote placement external to HIU if required</w:t>
      </w:r>
    </w:p>
    <w:p w14:paraId="66FC4C9A" w14:textId="327C5052" w:rsidR="002E0221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WRAS approved components in contact with potable water</w:t>
      </w:r>
    </w:p>
    <w:p w14:paraId="2D416594" w14:textId="01158F17" w:rsidR="00CB2385" w:rsidRPr="00030DBC" w:rsidRDefault="002E0221" w:rsidP="004F559B">
      <w:pPr>
        <w:pStyle w:val="ListParagraph"/>
        <w:numPr>
          <w:ilvl w:val="0"/>
          <w:numId w:val="7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Essco HIU controller:</w:t>
      </w:r>
    </w:p>
    <w:p w14:paraId="45991D42" w14:textId="66222F35" w:rsidR="00CB2385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P2P (pier-to-pier) Wi-Fi on board for connection to controller through any Wi-Fi enabled device without the need for app download</w:t>
      </w:r>
    </w:p>
    <w:p w14:paraId="1E043BF4" w14:textId="4879E0CA" w:rsidR="00CB2385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lastRenderedPageBreak/>
        <w:t>Hot water priority so only heating or hot water will operate at any one time, with priority given to hot water</w:t>
      </w:r>
    </w:p>
    <w:p w14:paraId="237CC45A" w14:textId="06B18BBD" w:rsidR="00CB2385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No flow through HIU when keep-warm and demand for domestic hot water or heating satisfied</w:t>
      </w:r>
    </w:p>
    <w:p w14:paraId="048579D4" w14:textId="644A89C8" w:rsidR="00CB2385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Billing neutral, with meter connection for billing company using traditional MBUS network and data logger, or into billing controller with 4G SIM etc</w:t>
      </w:r>
    </w:p>
    <w:p w14:paraId="0F9F7849" w14:textId="1A94995F" w:rsidR="00CB2385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Pre-configuration of setpoints for heating flow/return, hot water delivery, and keep-warm target temperatures. No valves to manually set on site</w:t>
      </w:r>
    </w:p>
    <w:p w14:paraId="32351240" w14:textId="51CC9193" w:rsidR="001721B0" w:rsidRPr="00030DBC" w:rsidRDefault="00CB2385" w:rsidP="004F559B">
      <w:pPr>
        <w:pStyle w:val="ListParagraph"/>
        <w:numPr>
          <w:ilvl w:val="0"/>
          <w:numId w:val="8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Capable of working with any heating programmer with mains enable (by others / Essco as option)</w:t>
      </w:r>
    </w:p>
    <w:p w14:paraId="62AA78A8" w14:textId="39F99B92" w:rsidR="009743E1" w:rsidRPr="007959E2" w:rsidRDefault="009743E1" w:rsidP="004F559B">
      <w:pPr>
        <w:pStyle w:val="Heading2"/>
        <w:spacing w:after="160" w:line="276" w:lineRule="auto"/>
        <w:rPr>
          <w:color w:val="408B80"/>
        </w:rPr>
      </w:pPr>
      <w:r w:rsidRPr="007959E2">
        <w:rPr>
          <w:color w:val="408B80"/>
        </w:rPr>
        <w:t>Pre-</w:t>
      </w:r>
      <w:r w:rsidR="00E566BF">
        <w:rPr>
          <w:color w:val="408B80"/>
        </w:rPr>
        <w:t>p</w:t>
      </w:r>
      <w:r w:rsidRPr="007959E2">
        <w:rPr>
          <w:color w:val="408B80"/>
        </w:rPr>
        <w:t>lumbing Jig Kit</w:t>
      </w:r>
    </w:p>
    <w:p w14:paraId="7A8B9D90" w14:textId="2FF999DB" w:rsidR="009743E1" w:rsidRPr="00030DBC" w:rsidRDefault="009743E1" w:rsidP="004F559B">
      <w:pPr>
        <w:pStyle w:val="ListParagraph"/>
        <w:numPr>
          <w:ilvl w:val="0"/>
          <w:numId w:val="10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Primary top and secondary bottom connections as standard, with optional setback rails for either ‘all-top’ or ‘all-bottom’ connections, as necessary</w:t>
      </w:r>
    </w:p>
    <w:p w14:paraId="07187827" w14:textId="15903E27" w:rsidR="009743E1" w:rsidRPr="00030DBC" w:rsidRDefault="009743E1" w:rsidP="004F559B">
      <w:pPr>
        <w:pStyle w:val="ListParagraph"/>
        <w:numPr>
          <w:ilvl w:val="0"/>
          <w:numId w:val="10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Insulated isolation valves for isolation of primary, secondary space heating, cold water inlet and hot water outlet circuits</w:t>
      </w:r>
    </w:p>
    <w:p w14:paraId="5DF8CF9A" w14:textId="59AD1E9B" w:rsidR="009743E1" w:rsidRPr="00030DBC" w:rsidRDefault="009743E1" w:rsidP="004F559B">
      <w:pPr>
        <w:pStyle w:val="ListParagraph"/>
        <w:numPr>
          <w:ilvl w:val="0"/>
          <w:numId w:val="10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Insulated detachable flushing bypass for primary circuit. Bypass pipe to be removed after flushing and replaced with binder test points to allow measurement of dP across primary circuit</w:t>
      </w:r>
    </w:p>
    <w:p w14:paraId="3B5F0B68" w14:textId="617C023D" w:rsidR="004530E6" w:rsidRPr="00030DBC" w:rsidRDefault="009743E1" w:rsidP="004F559B">
      <w:pPr>
        <w:pStyle w:val="ListParagraph"/>
        <w:numPr>
          <w:ilvl w:val="0"/>
          <w:numId w:val="10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Secondary space heating filling loop with double check valve</w:t>
      </w:r>
    </w:p>
    <w:p w14:paraId="2607EBAF" w14:textId="77777777" w:rsidR="00A40CA8" w:rsidRPr="007959E2" w:rsidRDefault="00A40CA8" w:rsidP="004F559B">
      <w:pPr>
        <w:pStyle w:val="Heading2"/>
        <w:spacing w:after="160" w:line="276" w:lineRule="auto"/>
        <w:rPr>
          <w:color w:val="408B80"/>
        </w:rPr>
      </w:pPr>
      <w:r w:rsidRPr="007959E2">
        <w:rPr>
          <w:color w:val="408B80"/>
        </w:rPr>
        <w:t>Quality</w:t>
      </w:r>
    </w:p>
    <w:p w14:paraId="4D085300" w14:textId="03F21A23" w:rsidR="00A40CA8" w:rsidRPr="00030DBC" w:rsidRDefault="00A40CA8" w:rsidP="004F559B">
      <w:pPr>
        <w:pStyle w:val="ListParagraph"/>
        <w:numPr>
          <w:ilvl w:val="0"/>
          <w:numId w:val="11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The HIU should be factory pressure and electrically tested and have test stamps confirming the test results within the HIU</w:t>
      </w:r>
    </w:p>
    <w:p w14:paraId="667ED706" w14:textId="79E16BD4" w:rsidR="00A40CA8" w:rsidRPr="00030DBC" w:rsidRDefault="00A40CA8" w:rsidP="004F559B">
      <w:pPr>
        <w:pStyle w:val="ListParagraph"/>
        <w:numPr>
          <w:ilvl w:val="0"/>
          <w:numId w:val="11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HIU manufacturer to provide on-site installation and commissioning training to site operatives and issue training certificates if needed</w:t>
      </w:r>
    </w:p>
    <w:p w14:paraId="033CA534" w14:textId="57F2B048" w:rsidR="00A40CA8" w:rsidRPr="00030DBC" w:rsidRDefault="00A40CA8" w:rsidP="004F559B">
      <w:pPr>
        <w:pStyle w:val="ListParagraph"/>
        <w:numPr>
          <w:ilvl w:val="0"/>
          <w:numId w:val="11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HIU manufacturer to have tested units thoroughly and via a recognised UK BESA standard</w:t>
      </w:r>
    </w:p>
    <w:p w14:paraId="30D96101" w14:textId="3D0462F7" w:rsidR="00A40CA8" w:rsidRPr="00030DBC" w:rsidRDefault="00A40CA8" w:rsidP="004F559B">
      <w:pPr>
        <w:pStyle w:val="ListParagraph"/>
        <w:numPr>
          <w:ilvl w:val="0"/>
          <w:numId w:val="11"/>
        </w:numPr>
        <w:spacing w:after="160" w:line="276" w:lineRule="auto"/>
        <w:ind w:left="360"/>
        <w:rPr>
          <w:color w:val="262626" w:themeColor="text1" w:themeTint="D9"/>
        </w:rPr>
      </w:pPr>
      <w:r w:rsidRPr="00030DBC">
        <w:rPr>
          <w:color w:val="262626" w:themeColor="text1" w:themeTint="D9"/>
        </w:rPr>
        <w:t>Warranty:</w:t>
      </w:r>
    </w:p>
    <w:p w14:paraId="462E4943" w14:textId="14619532" w:rsidR="001721B0" w:rsidRPr="00030DBC" w:rsidRDefault="001721B0" w:rsidP="004F559B">
      <w:pPr>
        <w:pStyle w:val="ListParagraph"/>
        <w:numPr>
          <w:ilvl w:val="0"/>
          <w:numId w:val="12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2-year parts and labour warranty as standard</w:t>
      </w:r>
    </w:p>
    <w:p w14:paraId="6DC16F57" w14:textId="7EA56D3C" w:rsidR="00A40CA8" w:rsidRPr="00030DBC" w:rsidRDefault="001721B0" w:rsidP="004F559B">
      <w:pPr>
        <w:pStyle w:val="ListParagraph"/>
        <w:numPr>
          <w:ilvl w:val="0"/>
          <w:numId w:val="12"/>
        </w:numPr>
        <w:spacing w:after="160" w:line="276" w:lineRule="auto"/>
        <w:rPr>
          <w:color w:val="262626" w:themeColor="text1" w:themeTint="D9"/>
        </w:rPr>
      </w:pPr>
      <w:r w:rsidRPr="00030DBC">
        <w:rPr>
          <w:color w:val="262626" w:themeColor="text1" w:themeTint="D9"/>
        </w:rPr>
        <w:t>Extended to 5-years with installation of Elysator to meet VDI-2035 water quality standards in Plant Room (CIBSE CP1 recommended)</w:t>
      </w:r>
    </w:p>
    <w:p w14:paraId="29334CA3" w14:textId="1A0B395C" w:rsidR="004530E6" w:rsidRDefault="004530E6" w:rsidP="00D056D6"/>
    <w:p w14:paraId="3BA42CE1" w14:textId="2FC6BE21" w:rsidR="00117787" w:rsidRPr="00117787" w:rsidRDefault="00117787" w:rsidP="00D056D6">
      <w:pPr>
        <w:rPr>
          <w:b/>
          <w:bCs/>
        </w:rPr>
      </w:pPr>
      <w:r w:rsidRPr="00117787">
        <w:rPr>
          <w:b/>
          <w:bCs/>
        </w:rPr>
        <w:t>JULY 2022</w:t>
      </w:r>
    </w:p>
    <w:sectPr w:rsidR="00117787" w:rsidRPr="00117787" w:rsidSect="00030DBC">
      <w:headerReference w:type="default" r:id="rId7"/>
      <w:footerReference w:type="default" r:id="rId8"/>
      <w:pgSz w:w="11906" w:h="16838"/>
      <w:pgMar w:top="3552" w:right="1440" w:bottom="2410" w:left="1440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7CF9" w14:textId="77777777" w:rsidR="000C7FBA" w:rsidRDefault="000C7FBA" w:rsidP="00E14D53">
      <w:r>
        <w:separator/>
      </w:r>
    </w:p>
  </w:endnote>
  <w:endnote w:type="continuationSeparator" w:id="0">
    <w:p w14:paraId="5685BE7A" w14:textId="77777777" w:rsidR="000C7FBA" w:rsidRDefault="000C7FBA" w:rsidP="00E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Light">
    <w:panose1 w:val="020B04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 Condensed">
    <w:panose1 w:val="020B0506050203000203"/>
    <w:charset w:val="00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A51" w14:textId="57167CCC" w:rsidR="00B2392A" w:rsidRDefault="007F09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D6638A" wp14:editId="5EDB236D">
              <wp:simplePos x="0" y="0"/>
              <wp:positionH relativeFrom="column">
                <wp:posOffset>290195</wp:posOffset>
              </wp:positionH>
              <wp:positionV relativeFrom="paragraph">
                <wp:posOffset>482718</wp:posOffset>
              </wp:positionV>
              <wp:extent cx="5554980" cy="612140"/>
              <wp:effectExtent l="0" t="0" r="762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4980" cy="612140"/>
                        <a:chOff x="0" y="0"/>
                        <a:chExt cx="5496051" cy="612476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37854" y="0"/>
                          <a:ext cx="99885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CD97" w14:textId="77777777" w:rsidR="000A58C9" w:rsidRPr="00F526F5" w:rsidRDefault="000A58C9" w:rsidP="000A58C9">
                            <w:pPr>
                              <w:pStyle w:val="FooterPhone"/>
                              <w:rPr>
                                <w:color w:val="404040" w:themeColor="text1" w:themeTint="BF"/>
                              </w:rPr>
                            </w:pPr>
                            <w:r w:rsidRPr="00F526F5">
                              <w:rPr>
                                <w:color w:val="404040" w:themeColor="text1" w:themeTint="BF"/>
                              </w:rPr>
                              <w:t>T. 01489 779068</w:t>
                            </w:r>
                          </w:p>
                          <w:p w14:paraId="12C8006F" w14:textId="77777777" w:rsidR="000A58C9" w:rsidRPr="00F526F5" w:rsidRDefault="000A58C9" w:rsidP="000A58C9">
                            <w:pPr>
                              <w:pStyle w:val="FooterPhone"/>
                              <w:rPr>
                                <w:color w:val="404040" w:themeColor="text1" w:themeTint="BF"/>
                              </w:rPr>
                            </w:pPr>
                            <w:r w:rsidRPr="00F526F5">
                              <w:rPr>
                                <w:color w:val="404040" w:themeColor="text1" w:themeTint="BF"/>
                              </w:rPr>
                              <w:t>F. 01489779069</w:t>
                            </w:r>
                          </w:p>
                          <w:p w14:paraId="1DC56F5A" w14:textId="77777777" w:rsidR="000A58C9" w:rsidRDefault="000A58C9" w:rsidP="000A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526"/>
                          <a:ext cx="17221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508C" w14:textId="77777777" w:rsidR="000A58C9" w:rsidRPr="00F526F5" w:rsidRDefault="000A58C9" w:rsidP="000A58C9">
                            <w:pPr>
                              <w:pStyle w:val="FooterAddress"/>
                              <w:tabs>
                                <w:tab w:val="left" w:pos="709"/>
                              </w:tabs>
                              <w:rPr>
                                <w:color w:val="7F7F7F" w:themeColor="text1" w:themeTint="80"/>
                              </w:rPr>
                            </w:pPr>
                            <w:r w:rsidRPr="00F526F5">
                              <w:rPr>
                                <w:color w:val="7F7F7F" w:themeColor="text1" w:themeTint="80"/>
                              </w:rPr>
                              <w:t xml:space="preserve">Essco Group, Unit 5, Nelson Ind. Est.  </w:t>
                            </w:r>
                          </w:p>
                          <w:p w14:paraId="4EADE5BF" w14:textId="77777777" w:rsidR="000A58C9" w:rsidRPr="00F526F5" w:rsidRDefault="000A58C9" w:rsidP="000A58C9">
                            <w:pPr>
                              <w:pStyle w:val="FooterAddress"/>
                              <w:tabs>
                                <w:tab w:val="left" w:pos="709"/>
                              </w:tabs>
                              <w:rPr>
                                <w:color w:val="7F7F7F" w:themeColor="text1" w:themeTint="80"/>
                              </w:rPr>
                            </w:pPr>
                            <w:r w:rsidRPr="00F526F5">
                              <w:rPr>
                                <w:color w:val="7F7F7F" w:themeColor="text1" w:themeTint="80"/>
                              </w:rPr>
                              <w:t>Herald Rd, Southampton, SO30 2JH</w:t>
                            </w:r>
                          </w:p>
                          <w:p w14:paraId="0053B6E5" w14:textId="77777777" w:rsidR="000A58C9" w:rsidRDefault="000A58C9" w:rsidP="000A58C9">
                            <w:pPr>
                              <w:tabs>
                                <w:tab w:val="left" w:pos="70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06162" y="4526"/>
                          <a:ext cx="1285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EDF0" w14:textId="77777777" w:rsidR="000A58C9" w:rsidRPr="00F526F5" w:rsidRDefault="00000000" w:rsidP="000A58C9">
                            <w:pPr>
                              <w:pStyle w:val="FooteerWebemail"/>
                              <w:rPr>
                                <w:color w:val="404040" w:themeColor="text1" w:themeTint="BF"/>
                              </w:rPr>
                            </w:pPr>
                            <w:hyperlink r:id="rId1" w:history="1">
                              <w:r w:rsidR="000A58C9" w:rsidRPr="00F526F5">
                                <w:rPr>
                                  <w:rStyle w:val="Hyperlink0"/>
                                  <w:rFonts w:eastAsia="Arial Unicode MS" w:cs="Arial Unicode MS"/>
                                  <w:color w:val="404040" w:themeColor="text1" w:themeTint="BF"/>
                                  <w:lang w:val="en-US"/>
                                </w:rPr>
                                <w:t>www.esscogroup.co.uk</w:t>
                              </w:r>
                            </w:hyperlink>
                          </w:p>
                          <w:p w14:paraId="67FBDF62" w14:textId="77777777" w:rsidR="000A58C9" w:rsidRPr="00F526F5" w:rsidRDefault="00000000" w:rsidP="000A58C9">
                            <w:pPr>
                              <w:pStyle w:val="FooteerWebemail"/>
                              <w:rPr>
                                <w:color w:val="404040" w:themeColor="text1" w:themeTint="BF"/>
                              </w:rPr>
                            </w:pPr>
                            <w:hyperlink r:id="rId2" w:history="1">
                              <w:r w:rsidR="000A58C9" w:rsidRPr="00F526F5">
                                <w:rPr>
                                  <w:rStyle w:val="Hyperlink0"/>
                                  <w:rFonts w:eastAsia="Arial Unicode MS" w:cs="Arial Unicode MS"/>
                                  <w:color w:val="404040" w:themeColor="text1" w:themeTint="BF"/>
                                  <w:lang w:val="en-US"/>
                                </w:rPr>
                                <w:t>sales@esscogroup.co.uk</w:t>
                              </w:r>
                            </w:hyperlink>
                          </w:p>
                          <w:p w14:paraId="44B5B294" w14:textId="77777777" w:rsidR="000A58C9" w:rsidRDefault="000A58C9" w:rsidP="000A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58765" y="0"/>
                          <a:ext cx="1137286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C8F2" w14:textId="77777777" w:rsidR="000A58C9" w:rsidRPr="00F526F5" w:rsidRDefault="000A58C9" w:rsidP="000A58C9">
                            <w:pPr>
                              <w:pStyle w:val="FooterAddress"/>
                              <w:rPr>
                                <w:color w:val="7F7F7F" w:themeColor="text1" w:themeTint="80"/>
                              </w:rPr>
                            </w:pPr>
                            <w:r w:rsidRPr="00F526F5">
                              <w:rPr>
                                <w:color w:val="7F7F7F" w:themeColor="text1" w:themeTint="80"/>
                              </w:rPr>
                              <w:t xml:space="preserve">Essco Controls Ltd </w:t>
                            </w:r>
                            <w:bookmarkStart w:id="1" w:name="_Hlk57123778"/>
                            <w:r w:rsidRPr="00F526F5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(Trading as Essco Group)</w:t>
                            </w:r>
                          </w:p>
                          <w:p w14:paraId="1F4FB905" w14:textId="77777777" w:rsidR="000A58C9" w:rsidRPr="00F526F5" w:rsidRDefault="000A58C9" w:rsidP="000A58C9">
                            <w:pPr>
                              <w:pStyle w:val="FooterAddress"/>
                              <w:rPr>
                                <w:color w:val="7F7F7F" w:themeColor="text1" w:themeTint="80"/>
                              </w:rPr>
                            </w:pPr>
                            <w:r w:rsidRPr="00F526F5">
                              <w:rPr>
                                <w:color w:val="7F7F7F" w:themeColor="text1" w:themeTint="80"/>
                              </w:rPr>
                              <w:t>Reg in UK:  06166936</w:t>
                            </w:r>
                          </w:p>
                          <w:bookmarkEnd w:id="1"/>
                          <w:p w14:paraId="5079A4C5" w14:textId="77777777" w:rsidR="000A58C9" w:rsidRDefault="000A58C9" w:rsidP="000A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D6638A" id="Group 8" o:spid="_x0000_s1026" style="position:absolute;margin-left:22.85pt;margin-top:38pt;width:437.4pt;height:48.2pt;z-index:251660288;mso-width-relative:margin;mso-height-relative:margin" coordsize="54960,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378;width:998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5DCCD97" w14:textId="77777777" w:rsidR="000A58C9" w:rsidRPr="00F526F5" w:rsidRDefault="000A58C9" w:rsidP="000A58C9">
                      <w:pPr>
                        <w:pStyle w:val="FooterPhone"/>
                        <w:rPr>
                          <w:color w:val="404040" w:themeColor="text1" w:themeTint="BF"/>
                        </w:rPr>
                      </w:pPr>
                      <w:r w:rsidRPr="00F526F5">
                        <w:rPr>
                          <w:color w:val="404040" w:themeColor="text1" w:themeTint="BF"/>
                        </w:rPr>
                        <w:t>T. 01489 779068</w:t>
                      </w:r>
                    </w:p>
                    <w:p w14:paraId="12C8006F" w14:textId="77777777" w:rsidR="000A58C9" w:rsidRPr="00F526F5" w:rsidRDefault="000A58C9" w:rsidP="000A58C9">
                      <w:pPr>
                        <w:pStyle w:val="FooterPhone"/>
                        <w:rPr>
                          <w:color w:val="404040" w:themeColor="text1" w:themeTint="BF"/>
                        </w:rPr>
                      </w:pPr>
                      <w:r w:rsidRPr="00F526F5">
                        <w:rPr>
                          <w:color w:val="404040" w:themeColor="text1" w:themeTint="BF"/>
                        </w:rPr>
                        <w:t>F. 01489779069</w:t>
                      </w:r>
                    </w:p>
                    <w:p w14:paraId="1DC56F5A" w14:textId="77777777" w:rsidR="000A58C9" w:rsidRDefault="000A58C9" w:rsidP="000A58C9"/>
                  </w:txbxContent>
                </v:textbox>
              </v:shape>
              <v:shape id="Text Box 2" o:spid="_x0000_s1028" type="#_x0000_t202" style="position:absolute;top:45;width:17221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4EDB508C" w14:textId="77777777" w:rsidR="000A58C9" w:rsidRPr="00F526F5" w:rsidRDefault="000A58C9" w:rsidP="000A58C9">
                      <w:pPr>
                        <w:pStyle w:val="FooterAddress"/>
                        <w:tabs>
                          <w:tab w:val="left" w:pos="709"/>
                        </w:tabs>
                        <w:rPr>
                          <w:color w:val="7F7F7F" w:themeColor="text1" w:themeTint="80"/>
                        </w:rPr>
                      </w:pPr>
                      <w:r w:rsidRPr="00F526F5">
                        <w:rPr>
                          <w:color w:val="7F7F7F" w:themeColor="text1" w:themeTint="80"/>
                        </w:rPr>
                        <w:t xml:space="preserve">Essco Group, Unit 5, Nelson Ind. Est.  </w:t>
                      </w:r>
                    </w:p>
                    <w:p w14:paraId="4EADE5BF" w14:textId="77777777" w:rsidR="000A58C9" w:rsidRPr="00F526F5" w:rsidRDefault="000A58C9" w:rsidP="000A58C9">
                      <w:pPr>
                        <w:pStyle w:val="FooterAddress"/>
                        <w:tabs>
                          <w:tab w:val="left" w:pos="709"/>
                        </w:tabs>
                        <w:rPr>
                          <w:color w:val="7F7F7F" w:themeColor="text1" w:themeTint="80"/>
                        </w:rPr>
                      </w:pPr>
                      <w:r w:rsidRPr="00F526F5">
                        <w:rPr>
                          <w:color w:val="7F7F7F" w:themeColor="text1" w:themeTint="80"/>
                        </w:rPr>
                        <w:t>Herald Rd, Southampton, SO30 2JH</w:t>
                      </w:r>
                    </w:p>
                    <w:p w14:paraId="0053B6E5" w14:textId="77777777" w:rsidR="000A58C9" w:rsidRDefault="000A58C9" w:rsidP="000A58C9">
                      <w:pPr>
                        <w:tabs>
                          <w:tab w:val="left" w:pos="709"/>
                        </w:tabs>
                      </w:pPr>
                    </w:p>
                  </w:txbxContent>
                </v:textbox>
              </v:shape>
              <v:shape id="Text Box 2" o:spid="_x0000_s1029" type="#_x0000_t202" style="position:absolute;left:29061;top:45;width:12859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4BF3EDF0" w14:textId="77777777" w:rsidR="000A58C9" w:rsidRPr="00F526F5" w:rsidRDefault="00000000" w:rsidP="000A58C9">
                      <w:pPr>
                        <w:pStyle w:val="FooteerWebemail"/>
                        <w:rPr>
                          <w:color w:val="404040" w:themeColor="text1" w:themeTint="BF"/>
                        </w:rPr>
                      </w:pPr>
                      <w:hyperlink r:id="rId3" w:history="1">
                        <w:r w:rsidR="000A58C9" w:rsidRPr="00F526F5">
                          <w:rPr>
                            <w:rStyle w:val="Hyperlink0"/>
                            <w:rFonts w:eastAsia="Arial Unicode MS" w:cs="Arial Unicode MS"/>
                            <w:color w:val="404040" w:themeColor="text1" w:themeTint="BF"/>
                            <w:lang w:val="en-US"/>
                          </w:rPr>
                          <w:t>www.esscogroup.co.uk</w:t>
                        </w:r>
                      </w:hyperlink>
                    </w:p>
                    <w:p w14:paraId="67FBDF62" w14:textId="77777777" w:rsidR="000A58C9" w:rsidRPr="00F526F5" w:rsidRDefault="00000000" w:rsidP="000A58C9">
                      <w:pPr>
                        <w:pStyle w:val="FooteerWebemail"/>
                        <w:rPr>
                          <w:color w:val="404040" w:themeColor="text1" w:themeTint="BF"/>
                        </w:rPr>
                      </w:pPr>
                      <w:hyperlink r:id="rId4" w:history="1">
                        <w:r w:rsidR="000A58C9" w:rsidRPr="00F526F5">
                          <w:rPr>
                            <w:rStyle w:val="Hyperlink0"/>
                            <w:rFonts w:eastAsia="Arial Unicode MS" w:cs="Arial Unicode MS"/>
                            <w:color w:val="404040" w:themeColor="text1" w:themeTint="BF"/>
                            <w:lang w:val="en-US"/>
                          </w:rPr>
                          <w:t>sales@esscogroup.co.uk</w:t>
                        </w:r>
                      </w:hyperlink>
                    </w:p>
                    <w:p w14:paraId="44B5B294" w14:textId="77777777" w:rsidR="000A58C9" w:rsidRDefault="000A58C9" w:rsidP="000A58C9"/>
                  </w:txbxContent>
                </v:textbox>
              </v:shape>
              <v:shape id="Text Box 2" o:spid="_x0000_s1030" type="#_x0000_t202" style="position:absolute;left:43587;width:11373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05EC8F2" w14:textId="77777777" w:rsidR="000A58C9" w:rsidRPr="00F526F5" w:rsidRDefault="000A58C9" w:rsidP="000A58C9">
                      <w:pPr>
                        <w:pStyle w:val="FooterAddress"/>
                        <w:rPr>
                          <w:color w:val="7F7F7F" w:themeColor="text1" w:themeTint="80"/>
                        </w:rPr>
                      </w:pPr>
                      <w:r w:rsidRPr="00F526F5">
                        <w:rPr>
                          <w:color w:val="7F7F7F" w:themeColor="text1" w:themeTint="80"/>
                        </w:rPr>
                        <w:t xml:space="preserve">Essco Controls Ltd </w:t>
                      </w:r>
                      <w:bookmarkStart w:id="2" w:name="_Hlk57123778"/>
                      <w:r w:rsidRPr="00F526F5">
                        <w:rPr>
                          <w:color w:val="7F7F7F" w:themeColor="text1" w:themeTint="80"/>
                          <w:sz w:val="14"/>
                          <w:szCs w:val="14"/>
                        </w:rPr>
                        <w:t>(Trading as Essco Group)</w:t>
                      </w:r>
                    </w:p>
                    <w:p w14:paraId="1F4FB905" w14:textId="77777777" w:rsidR="000A58C9" w:rsidRPr="00F526F5" w:rsidRDefault="000A58C9" w:rsidP="000A58C9">
                      <w:pPr>
                        <w:pStyle w:val="FooterAddress"/>
                        <w:rPr>
                          <w:color w:val="7F7F7F" w:themeColor="text1" w:themeTint="80"/>
                        </w:rPr>
                      </w:pPr>
                      <w:r w:rsidRPr="00F526F5">
                        <w:rPr>
                          <w:color w:val="7F7F7F" w:themeColor="text1" w:themeTint="80"/>
                        </w:rPr>
                        <w:t>Reg in UK:  06166936</w:t>
                      </w:r>
                    </w:p>
                    <w:bookmarkEnd w:id="2"/>
                    <w:p w14:paraId="5079A4C5" w14:textId="77777777" w:rsidR="000A58C9" w:rsidRDefault="000A58C9" w:rsidP="000A58C9"/>
                  </w:txbxContent>
                </v:textbox>
              </v:shape>
              <w10:wrap type="square"/>
            </v:group>
          </w:pict>
        </mc:Fallback>
      </mc:AlternateContent>
    </w:r>
    <w:r w:rsidR="000A58C9">
      <w:rPr>
        <w:noProof/>
      </w:rPr>
      <w:drawing>
        <wp:anchor distT="0" distB="0" distL="114300" distR="114300" simplePos="0" relativeHeight="251658240" behindDoc="1" locked="0" layoutInCell="1" allowOverlap="1" wp14:anchorId="23663483" wp14:editId="69C6874F">
          <wp:simplePos x="0" y="0"/>
          <wp:positionH relativeFrom="column">
            <wp:posOffset>-497840</wp:posOffset>
          </wp:positionH>
          <wp:positionV relativeFrom="paragraph">
            <wp:posOffset>215265</wp:posOffset>
          </wp:positionV>
          <wp:extent cx="438785" cy="1238250"/>
          <wp:effectExtent l="0" t="0" r="0" b="0"/>
          <wp:wrapTight wrapText="bothSides">
            <wp:wrapPolygon edited="0">
              <wp:start x="0" y="0"/>
              <wp:lineTo x="0" y="21268"/>
              <wp:lineTo x="20631" y="21268"/>
              <wp:lineTo x="20631" y="0"/>
              <wp:lineTo x="0" y="0"/>
            </wp:wrapPolygon>
          </wp:wrapTight>
          <wp:docPr id="35" name="Picture 3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8A45" w14:textId="77777777" w:rsidR="000C7FBA" w:rsidRDefault="000C7FBA" w:rsidP="00E14D53">
      <w:r>
        <w:separator/>
      </w:r>
    </w:p>
  </w:footnote>
  <w:footnote w:type="continuationSeparator" w:id="0">
    <w:p w14:paraId="30E49E25" w14:textId="77777777" w:rsidR="000C7FBA" w:rsidRDefault="000C7FBA" w:rsidP="00E1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85B" w14:textId="49B88672" w:rsidR="00E14D53" w:rsidRDefault="00E14D53" w:rsidP="00E14D53">
    <w:pPr>
      <w:pStyle w:val="Header"/>
      <w:jc w:val="right"/>
    </w:pPr>
    <w:r>
      <w:rPr>
        <w:noProof/>
      </w:rPr>
      <w:drawing>
        <wp:inline distT="0" distB="0" distL="0" distR="0" wp14:anchorId="2731F4FF" wp14:editId="0D46D976">
          <wp:extent cx="1040464" cy="1244385"/>
          <wp:effectExtent l="0" t="0" r="7620" b="0"/>
          <wp:docPr id="34" name="Picture 3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4" cy="126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785"/>
    <w:multiLevelType w:val="hybridMultilevel"/>
    <w:tmpl w:val="561604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C5A9E"/>
    <w:multiLevelType w:val="hybridMultilevel"/>
    <w:tmpl w:val="12E2AC2A"/>
    <w:lvl w:ilvl="0" w:tplc="7D045E60">
      <w:numFmt w:val="bullet"/>
      <w:lvlText w:val="•"/>
      <w:lvlJc w:val="left"/>
      <w:pPr>
        <w:ind w:left="720" w:hanging="720"/>
      </w:pPr>
      <w:rPr>
        <w:rFonts w:ascii="IBM Plex Sans Light" w:eastAsia="Arial Unicode MS" w:hAnsi="IBM Plex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51395"/>
    <w:multiLevelType w:val="hybridMultilevel"/>
    <w:tmpl w:val="E5904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F6B"/>
    <w:multiLevelType w:val="hybridMultilevel"/>
    <w:tmpl w:val="1AFA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3725"/>
    <w:multiLevelType w:val="hybridMultilevel"/>
    <w:tmpl w:val="A6EE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1DC9"/>
    <w:multiLevelType w:val="hybridMultilevel"/>
    <w:tmpl w:val="B00EB1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B774D6"/>
    <w:multiLevelType w:val="hybridMultilevel"/>
    <w:tmpl w:val="B20C0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F063A"/>
    <w:multiLevelType w:val="hybridMultilevel"/>
    <w:tmpl w:val="0DAA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5178"/>
    <w:multiLevelType w:val="hybridMultilevel"/>
    <w:tmpl w:val="42C84B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C42C4"/>
    <w:multiLevelType w:val="hybridMultilevel"/>
    <w:tmpl w:val="12F6CDA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0C4495"/>
    <w:multiLevelType w:val="hybridMultilevel"/>
    <w:tmpl w:val="DD2EDBFE"/>
    <w:lvl w:ilvl="0" w:tplc="E71CA4D4">
      <w:numFmt w:val="bullet"/>
      <w:lvlText w:val=""/>
      <w:lvlJc w:val="left"/>
      <w:pPr>
        <w:ind w:left="1080" w:hanging="72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87F10"/>
    <w:multiLevelType w:val="hybridMultilevel"/>
    <w:tmpl w:val="CAC45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79911">
    <w:abstractNumId w:val="3"/>
  </w:num>
  <w:num w:numId="2" w16cid:durableId="811168283">
    <w:abstractNumId w:val="1"/>
  </w:num>
  <w:num w:numId="3" w16cid:durableId="875117968">
    <w:abstractNumId w:val="9"/>
  </w:num>
  <w:num w:numId="4" w16cid:durableId="894119744">
    <w:abstractNumId w:val="10"/>
  </w:num>
  <w:num w:numId="5" w16cid:durableId="900945117">
    <w:abstractNumId w:val="11"/>
  </w:num>
  <w:num w:numId="6" w16cid:durableId="2011254830">
    <w:abstractNumId w:val="0"/>
  </w:num>
  <w:num w:numId="7" w16cid:durableId="1955402801">
    <w:abstractNumId w:val="6"/>
  </w:num>
  <w:num w:numId="8" w16cid:durableId="1883131711">
    <w:abstractNumId w:val="8"/>
  </w:num>
  <w:num w:numId="9" w16cid:durableId="776174420">
    <w:abstractNumId w:val="2"/>
  </w:num>
  <w:num w:numId="10" w16cid:durableId="1245801680">
    <w:abstractNumId w:val="4"/>
  </w:num>
  <w:num w:numId="11" w16cid:durableId="647907184">
    <w:abstractNumId w:val="7"/>
  </w:num>
  <w:num w:numId="12" w16cid:durableId="517086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MzI0MTG1NDS2NDVQ0lEKTi0uzszPAykwrgUAhmwMxCwAAAA="/>
  </w:docVars>
  <w:rsids>
    <w:rsidRoot w:val="001C39BB"/>
    <w:rsid w:val="00030DBC"/>
    <w:rsid w:val="00035544"/>
    <w:rsid w:val="000A58C9"/>
    <w:rsid w:val="000C7FBA"/>
    <w:rsid w:val="00117787"/>
    <w:rsid w:val="001721B0"/>
    <w:rsid w:val="001B2CD1"/>
    <w:rsid w:val="001C39BB"/>
    <w:rsid w:val="002769C2"/>
    <w:rsid w:val="002D6044"/>
    <w:rsid w:val="002E0221"/>
    <w:rsid w:val="00311121"/>
    <w:rsid w:val="00352A09"/>
    <w:rsid w:val="003C6507"/>
    <w:rsid w:val="003E3D72"/>
    <w:rsid w:val="00440479"/>
    <w:rsid w:val="004513DB"/>
    <w:rsid w:val="004530E6"/>
    <w:rsid w:val="004F559B"/>
    <w:rsid w:val="0060787B"/>
    <w:rsid w:val="00682058"/>
    <w:rsid w:val="00754852"/>
    <w:rsid w:val="00764CBF"/>
    <w:rsid w:val="007959E2"/>
    <w:rsid w:val="007A4C2B"/>
    <w:rsid w:val="007B064F"/>
    <w:rsid w:val="007B0895"/>
    <w:rsid w:val="007F092F"/>
    <w:rsid w:val="008230EB"/>
    <w:rsid w:val="00864A27"/>
    <w:rsid w:val="00870DFF"/>
    <w:rsid w:val="009362D7"/>
    <w:rsid w:val="009743E1"/>
    <w:rsid w:val="00983404"/>
    <w:rsid w:val="00A40CA8"/>
    <w:rsid w:val="00A52133"/>
    <w:rsid w:val="00AD5375"/>
    <w:rsid w:val="00AE6632"/>
    <w:rsid w:val="00B2392A"/>
    <w:rsid w:val="00C60CB7"/>
    <w:rsid w:val="00CB2385"/>
    <w:rsid w:val="00D056D6"/>
    <w:rsid w:val="00D87918"/>
    <w:rsid w:val="00E05125"/>
    <w:rsid w:val="00E14D53"/>
    <w:rsid w:val="00E566BF"/>
    <w:rsid w:val="00ED571A"/>
    <w:rsid w:val="00F526F5"/>
    <w:rsid w:val="00FA142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35BE"/>
  <w15:chartTrackingRefBased/>
  <w15:docId w15:val="{B71EE8DD-E427-4343-81C3-0AA1482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IBM Plex Sans Light" w:eastAsia="Arial Unicode MS" w:hAnsi="IBM Plex Sans Light" w:cs="Times New Roman"/>
      <w:sz w:val="20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BB"/>
    <w:pPr>
      <w:keepNext/>
      <w:keepLines/>
      <w:spacing w:before="240"/>
      <w:outlineLvl w:val="0"/>
    </w:pPr>
    <w:rPr>
      <w:rFonts w:ascii="IBM Plex Sans" w:eastAsiaTheme="majorEastAsia" w:hAnsi="IBM Plex Sans" w:cstheme="majorBidi"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BB"/>
    <w:pPr>
      <w:keepNext/>
      <w:keepLines/>
      <w:spacing w:before="40"/>
      <w:outlineLvl w:val="1"/>
    </w:pPr>
    <w:rPr>
      <w:rFonts w:ascii="IBM Plex Sans" w:eastAsiaTheme="majorEastAsia" w:hAnsi="IBM Plex Sans" w:cstheme="majorBidi"/>
      <w:b/>
      <w:color w:val="222A35" w:themeColor="text2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BB"/>
    <w:rPr>
      <w:rFonts w:ascii="IBM Plex Sans" w:eastAsiaTheme="majorEastAsia" w:hAnsi="IBM Plex Sans" w:cstheme="majorBidi"/>
      <w:color w:val="262626" w:themeColor="text1" w:themeTint="D9"/>
      <w:sz w:val="40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39BB"/>
    <w:rPr>
      <w:rFonts w:ascii="IBM Plex Sans" w:eastAsiaTheme="majorEastAsia" w:hAnsi="IBM Plex Sans" w:cstheme="majorBidi"/>
      <w:b/>
      <w:color w:val="222A35" w:themeColor="text2" w:themeShade="80"/>
      <w:sz w:val="28"/>
      <w:szCs w:val="26"/>
      <w:bdr w:val="nil"/>
      <w:lang w:val="en-US"/>
    </w:rPr>
  </w:style>
  <w:style w:type="paragraph" w:customStyle="1" w:styleId="Addressee">
    <w:name w:val="Addressee"/>
    <w:rsid w:val="001C39BB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  <w:ind w:firstLine="567"/>
    </w:pPr>
    <w:rPr>
      <w:rFonts w:ascii="IBM Plex Sans Medium" w:eastAsia="Arial Unicode MS" w:hAnsi="IBM Plex Sans Medium" w:cs="Arial Unicode MS"/>
      <w:color w:val="222222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C3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C39BB"/>
    <w:rPr>
      <w:rFonts w:ascii="IBM Plex Sans Medium" w:hAnsi="IBM Plex Sans Medium"/>
      <w:b/>
      <w:i w:val="0"/>
      <w:iCs/>
      <w:color w:val="FFFFFF" w:themeColor="background1"/>
      <w:sz w:val="18"/>
      <w:u w:val="none"/>
    </w:rPr>
  </w:style>
  <w:style w:type="paragraph" w:styleId="NoSpacing">
    <w:name w:val="No Spacing"/>
    <w:uiPriority w:val="1"/>
    <w:qFormat/>
    <w:rsid w:val="001C3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IBM Plex Sans Light" w:eastAsia="Arial Unicode MS" w:hAnsi="IBM Plex Sans Light" w:cs="Times New Roman"/>
      <w:sz w:val="18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53"/>
    <w:rPr>
      <w:rFonts w:ascii="IBM Plex Sans Light" w:eastAsia="Arial Unicode MS" w:hAnsi="IBM Plex Sans Light" w:cs="Times New Roman"/>
      <w:sz w:val="20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53"/>
    <w:rPr>
      <w:rFonts w:ascii="IBM Plex Sans Light" w:eastAsia="Arial Unicode MS" w:hAnsi="IBM Plex Sans Light" w:cs="Times New Roman"/>
      <w:sz w:val="20"/>
      <w:szCs w:val="24"/>
      <w:bdr w:val="nil"/>
      <w:lang w:val="en-US"/>
    </w:rPr>
  </w:style>
  <w:style w:type="paragraph" w:customStyle="1" w:styleId="FooterAddress">
    <w:name w:val="FooterAddress"/>
    <w:rsid w:val="003E3D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IBM Plex Sans Condensed" w:eastAsia="Arial Unicode MS" w:hAnsi="IBM Plex Sans Condensed" w:cs="Arial Unicode MS"/>
      <w:color w:val="000000"/>
      <w:sz w:val="16"/>
      <w:szCs w:val="1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Phone">
    <w:name w:val="FooterPhone"/>
    <w:rsid w:val="003E3D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IBM Plex Sans Condensed" w:eastAsia="Arial Unicode MS" w:hAnsi="IBM Plex Sans Condensed" w:cs="Arial Unicode MS"/>
      <w:color w:val="D23700"/>
      <w:sz w:val="16"/>
      <w:szCs w:val="1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3E3D72"/>
    <w:rPr>
      <w:u w:val="none"/>
    </w:rPr>
  </w:style>
  <w:style w:type="paragraph" w:customStyle="1" w:styleId="FooteerWebemail">
    <w:name w:val="FooteerWebemail"/>
    <w:rsid w:val="003E3D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IBM Plex Sans Condensed" w:eastAsia="IBM Plex Sans Condensed" w:hAnsi="IBM Plex Sans Condensed" w:cs="IBM Plex Sans Condensed"/>
      <w:color w:val="D23700"/>
      <w:sz w:val="16"/>
      <w:szCs w:val="1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8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scogroup.co.uk" TargetMode="External"/><Relationship Id="rId2" Type="http://schemas.openxmlformats.org/officeDocument/2006/relationships/hyperlink" Target="mailto:sales@esscogroup.co.uk" TargetMode="External"/><Relationship Id="rId1" Type="http://schemas.openxmlformats.org/officeDocument/2006/relationships/hyperlink" Target="http://www.esscogroup.co.uk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ales@esscogrou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Richman</dc:creator>
  <cp:keywords/>
  <dc:description/>
  <cp:lastModifiedBy>Emma Richman</cp:lastModifiedBy>
  <cp:revision>25</cp:revision>
  <cp:lastPrinted>2020-12-03T12:32:00Z</cp:lastPrinted>
  <dcterms:created xsi:type="dcterms:W3CDTF">2022-07-22T10:32:00Z</dcterms:created>
  <dcterms:modified xsi:type="dcterms:W3CDTF">2022-07-22T13:43:00Z</dcterms:modified>
</cp:coreProperties>
</file>